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"/>
        <w:gridCol w:w="2294"/>
        <w:gridCol w:w="7447"/>
        <w:gridCol w:w="312"/>
      </w:tblGrid>
      <w:tr w:rsidR="00790508" w:rsidRPr="00790508" w14:paraId="38A5D2FA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64AF6AEC" w14:textId="77777777" w:rsidR="00B13ACE" w:rsidRPr="00790508" w:rsidRDefault="003B49FC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Charakteristika predkladaného výstupu tvorivej činnosti / </w:t>
            </w:r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br/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submitted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  <w:t xml:space="preserve"> output</w:t>
            </w:r>
          </w:p>
        </w:tc>
      </w:tr>
      <w:tr w:rsidR="00790508" w:rsidRPr="00790508" w14:paraId="209BE836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823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013B" w14:textId="77777777" w:rsidR="00B13ACE" w:rsidRPr="00790508" w:rsidRDefault="00B13ACE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eastAsia="sk-SK"/>
              </w:rPr>
            </w:pPr>
          </w:p>
        </w:tc>
      </w:tr>
      <w:tr w:rsidR="00790508" w:rsidRPr="00790508" w14:paraId="76F7CF56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826CD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54F60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0BF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E0EC0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3BAD06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D9FE9F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form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used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submit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outputs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according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Methodology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for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Standards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Evaluation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509CE4A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9D42FD1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9853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948A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</w:pPr>
          </w:p>
        </w:tc>
      </w:tr>
      <w:tr w:rsidR="00790508" w:rsidRPr="00790508" w14:paraId="0F3AE1D3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B2AE8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E9F926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07EBD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EE6F92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A455D52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F60E74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5A9557D3" w14:textId="77777777" w:rsidR="00B13ACE" w:rsidRPr="00790508" w:rsidRDefault="00000000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: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E5711C5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5D517D6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01FA9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19D86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48F9114" w14:textId="77777777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begin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separate"/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Kód VTC/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Code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(RAOO):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vertAlign w:val="superscript"/>
                <w:lang w:eastAsia="sk-SK"/>
              </w:rPr>
              <w:t>1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2BD85CD" w14:textId="4D3CA752" w:rsidR="00B13ACE" w:rsidRPr="00790508" w:rsidRDefault="003B49FC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2E03CC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</w:t>
            </w:r>
          </w:p>
        </w:tc>
        <w:tc>
          <w:tcPr>
            <w:tcW w:w="312" w:type="dxa"/>
            <w:vAlign w:val="center"/>
          </w:tcPr>
          <w:p w14:paraId="6BC30BFF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B8D2C1D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BB7121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EFFDEB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ECEEAC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18D0F35" w14:textId="77777777" w:rsidR="00B13ACE" w:rsidRPr="00790508" w:rsidRDefault="00B13ACE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AD5BFBC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1E20F6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76BFF6" w14:textId="37563EBF" w:rsidR="00B13ACE" w:rsidRPr="00AF2836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 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ŠUVADA</w:t>
            </w:r>
          </w:p>
        </w:tc>
        <w:tc>
          <w:tcPr>
            <w:tcW w:w="312" w:type="dxa"/>
            <w:vAlign w:val="center"/>
          </w:tcPr>
          <w:p w14:paraId="1EAF016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583A20B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52957A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157386" w14:textId="2E564CCA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Jozef</w:t>
            </w:r>
          </w:p>
        </w:tc>
        <w:tc>
          <w:tcPr>
            <w:tcW w:w="312" w:type="dxa"/>
            <w:vAlign w:val="center"/>
          </w:tcPr>
          <w:p w14:paraId="67FD8FD4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033731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5EC344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9F1934" w14:textId="44C16268" w:rsidR="00B13ACE" w:rsidRPr="008B68D7" w:rsidRDefault="000A17C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Prof.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MUDr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., PhD., </w:t>
            </w:r>
            <w:proofErr w:type="spellStart"/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e</w:t>
            </w: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MBA</w:t>
            </w:r>
            <w:proofErr w:type="spellEnd"/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 xml:space="preserve">, </w:t>
            </w:r>
            <w:r w:rsidR="00AF2836"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  <w:t>MPH</w:t>
            </w:r>
          </w:p>
        </w:tc>
        <w:tc>
          <w:tcPr>
            <w:tcW w:w="312" w:type="dxa"/>
            <w:vAlign w:val="center"/>
          </w:tcPr>
          <w:p w14:paraId="7F96D8A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34B13B6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69449D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7A37DE" w14:textId="4A6CD4B0" w:rsidR="00B13ACE" w:rsidRPr="008B68D7" w:rsidRDefault="00AF2836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AF2836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https://www.portalvs.sk/regzam/detail/12451</w:t>
            </w:r>
          </w:p>
        </w:tc>
        <w:tc>
          <w:tcPr>
            <w:tcW w:w="312" w:type="dxa"/>
            <w:vAlign w:val="center"/>
          </w:tcPr>
          <w:p w14:paraId="2BBE0AC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8BC2011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41C674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EF76B0" w14:textId="77777777" w:rsidR="00DC28EF" w:rsidRDefault="00DC28EF" w:rsidP="00DC28EF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Sociálna práca/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0C66FB4E" w14:textId="42A8F9E1" w:rsidR="00B13ACE" w:rsidRPr="008B68D7" w:rsidRDefault="00DC28EF" w:rsidP="00DC28EF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Stupeň 1, 2, 3 / Level 1, 2, 3</w:t>
            </w:r>
          </w:p>
        </w:tc>
        <w:tc>
          <w:tcPr>
            <w:tcW w:w="312" w:type="dxa"/>
            <w:vAlign w:val="center"/>
          </w:tcPr>
          <w:p w14:paraId="65C3846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987B74E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426F72F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4" w:anchor="Expl.OCA6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E572BB" w14:textId="77777777" w:rsidR="00B13ACE" w:rsidRPr="00A51A0C" w:rsidRDefault="003B49FC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pedagogický výstup / </w:t>
            </w:r>
            <w:proofErr w:type="spellStart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>pedagogical</w:t>
            </w:r>
            <w:proofErr w:type="spellEnd"/>
            <w:r w:rsidRPr="00A51A0C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Pr="00A51A0C">
              <w:rPr>
                <w:rFonts w:asciiTheme="majorHAnsi" w:hAnsiTheme="majorHAnsi" w:cstheme="majorHAnsi"/>
                <w:bCs/>
                <w:sz w:val="16"/>
                <w:szCs w:val="16"/>
              </w:rPr>
              <w:t>output</w:t>
            </w:r>
          </w:p>
          <w:p w14:paraId="7FE97187" w14:textId="707157CB" w:rsidR="00B13ACE" w:rsidRPr="00C6062D" w:rsidRDefault="004F5320" w:rsidP="004F5320">
            <w:pPr>
              <w:shd w:val="clear" w:color="auto" w:fill="FFFFFF"/>
              <w:spacing w:before="270" w:after="135" w:line="240" w:lineRule="auto"/>
              <w:ind w:right="36"/>
              <w:jc w:val="both"/>
              <w:outlineLvl w:val="2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Jozef et al. 2022.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Socio-demographic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Characteristics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Tick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Bite and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Erythema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migrans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not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associated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with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Diagnosis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Neuroboreliosis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Koščálová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Alena [Korešpondenčný autor, 70%]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Holečková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Katarína [Autor, 10%]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Gazdíková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Katarína [Autor, 10%]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, Jozef [Autor, 10%]. – [recenzované]. – WOS CC</w:t>
            </w:r>
            <w:r w:rsidRPr="00EC397D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. – ISSN 2222-386X. – ISSN (online) 2076-9741. – Roč. 13, č. 6 (2022), s. 83-95 </w:t>
            </w:r>
          </w:p>
        </w:tc>
        <w:tc>
          <w:tcPr>
            <w:tcW w:w="312" w:type="dxa"/>
            <w:vAlign w:val="center"/>
          </w:tcPr>
          <w:p w14:paraId="39B540E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48B55DE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6901FEC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Year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research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artistic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/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2592DA" w14:textId="69622CD8" w:rsidR="00B13ACE" w:rsidRPr="002C0FA0" w:rsidRDefault="002E7555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val="en-US" w:eastAsia="sk-SK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2022</w:t>
            </w:r>
          </w:p>
        </w:tc>
        <w:tc>
          <w:tcPr>
            <w:tcW w:w="312" w:type="dxa"/>
            <w:vAlign w:val="center"/>
          </w:tcPr>
          <w:p w14:paraId="367F812C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E555AB9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69FA2C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(CRAA)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910C8" w14:textId="4911D56A" w:rsidR="00B13ACE" w:rsidRPr="00AF2836" w:rsidRDefault="004F532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528819</w:t>
            </w:r>
          </w:p>
        </w:tc>
        <w:tc>
          <w:tcPr>
            <w:tcW w:w="312" w:type="dxa"/>
            <w:vAlign w:val="center"/>
          </w:tcPr>
          <w:p w14:paraId="2DB5B10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0A95C6E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86246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2E676C" w14:textId="3EEAF1F4" w:rsidR="00A51A0C" w:rsidRPr="008B68D7" w:rsidRDefault="004F532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https://app.crepc.sk/?fn=detailBiblioFormChildE59B5&amp;sid=F10D06E41CA75DB74298919CA9&amp;seo=CREP%C4%8C-detail-%C4%8Cl%C3%A1nok</w:t>
            </w:r>
          </w:p>
        </w:tc>
        <w:tc>
          <w:tcPr>
            <w:tcW w:w="312" w:type="dxa"/>
            <w:vAlign w:val="center"/>
          </w:tcPr>
          <w:p w14:paraId="034246F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3371F5D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C4BB49E" w14:textId="77777777" w:rsidR="00B13ACE" w:rsidRPr="00790508" w:rsidRDefault="003B49FC" w:rsidP="00BE754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registered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5CD4E9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60BB5F" w14:textId="77777777" w:rsidR="00B13ACE" w:rsidRPr="008B68D7" w:rsidRDefault="00B13ACE" w:rsidP="00BE7542">
            <w:pPr>
              <w:spacing w:after="0" w:line="240" w:lineRule="auto"/>
              <w:ind w:left="160" w:hangingChars="100" w:hanging="160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01055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053FE3C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BB328A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C8EA66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format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bibliographic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record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if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not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publicly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accessible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catalogue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3C30B" w14:textId="15262B98" w:rsidR="00B13ACE" w:rsidRPr="008B68D7" w:rsidRDefault="004F532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Jozef et al. 2022.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Socio-demographic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Characteristics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Tick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Bite and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Erythema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migrans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not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associated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with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Diagnosis</w:t>
            </w:r>
            <w:proofErr w:type="spellEnd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 xml:space="preserve"> of </w:t>
            </w:r>
            <w:proofErr w:type="spellStart"/>
            <w:r w:rsidRPr="00EC397D">
              <w:rPr>
                <w:rStyle w:val="Vrazn"/>
                <w:rFonts w:asciiTheme="majorHAnsi" w:hAnsiTheme="majorHAnsi" w:cstheme="majorHAnsi"/>
                <w:b w:val="0"/>
                <w:bCs w:val="0"/>
                <w:sz w:val="16"/>
                <w:szCs w:val="16"/>
              </w:rPr>
              <w:t>Neuroboreliosis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Koščálová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Alena [Korešpondenčný autor, 70%]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Holečková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Katarína [Autor, 10%]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Gazdíková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, Katarína [Autor, 10%] ;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Šuvada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, Jozef [Autor, 10%]. – [recenzované]. – WOS CC</w:t>
            </w:r>
            <w:r w:rsidRPr="00EC397D">
              <w:rPr>
                <w:rFonts w:asciiTheme="majorHAnsi" w:hAnsiTheme="majorHAnsi" w:cstheme="majorHAnsi"/>
                <w:sz w:val="16"/>
                <w:szCs w:val="16"/>
              </w:rPr>
              <w:br/>
            </w:r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In: 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 xml:space="preserve"> and Health </w:t>
            </w:r>
            <w:proofErr w:type="spellStart"/>
            <w:r w:rsidRPr="00EC397D">
              <w:rPr>
                <w:rFonts w:asciiTheme="majorHAnsi" w:hAnsiTheme="majorHAnsi" w:cstheme="majorHAnsi"/>
                <w:i/>
                <w:iCs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C397D">
              <w:rPr>
                <w:rFonts w:asciiTheme="majorHAnsi" w:hAnsiTheme="majorHAnsi" w:cstheme="majorHAnsi"/>
                <w:sz w:val="16"/>
                <w:szCs w:val="16"/>
                <w:shd w:val="clear" w:color="auto" w:fill="FFFFFF"/>
              </w:rPr>
              <w:t>. – ISSN 2222-386X. – ISSN (online) 2076-9741. – Roč. 13, č. 6 (2022), s. 83-95 </w:t>
            </w:r>
          </w:p>
        </w:tc>
        <w:tc>
          <w:tcPr>
            <w:tcW w:w="312" w:type="dxa"/>
            <w:vAlign w:val="center"/>
          </w:tcPr>
          <w:p w14:paraId="0AAE6B3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B1120B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4D3B2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E354EE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8" w:anchor="Expl.OCA12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in CRPA or CRAA)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3E21C6" w14:textId="20EB24C2" w:rsidR="00B13ACE" w:rsidRPr="008B68D7" w:rsidRDefault="00FE0F09" w:rsidP="00BE7542">
            <w:pPr>
              <w:pStyle w:val="Textpoznmkypodiarou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Príspevok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</w:rPr>
              <w:t>Article</w:t>
            </w:r>
            <w:proofErr w:type="spellEnd"/>
          </w:p>
          <w:p w14:paraId="10A297AD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48A18D2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1E817851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0E1A05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4090C8F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Hyperlink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webpage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where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available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full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other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documentation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337C26" w14:textId="77777777" w:rsidR="00B13ACE" w:rsidRPr="008B68D7" w:rsidRDefault="00B13ACE" w:rsidP="00BE7542">
            <w:pPr>
              <w:spacing w:after="0" w:line="240" w:lineRule="auto"/>
              <w:jc w:val="both"/>
              <w:rPr>
                <w:rFonts w:asciiTheme="majorHAnsi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42EB27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59FA5B69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F1834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746426A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6EAD82" w14:textId="27EB9391" w:rsidR="00B13ACE" w:rsidRPr="008B68D7" w:rsidRDefault="00BB20BE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Šuvada</w:t>
            </w:r>
            <w:proofErr w:type="spellEnd"/>
            <w:r w:rsidR="00C6062D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</w:t>
            </w:r>
            <w:r w:rsidR="004F5320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10</w:t>
            </w:r>
            <w:r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>%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lang w:val="en-US"/>
              </w:rPr>
              <w:t xml:space="preserve"> / 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Šuvada</w:t>
            </w:r>
            <w:proofErr w:type="spellEnd"/>
            <w:r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 xml:space="preserve"> </w:t>
            </w:r>
            <w:r w:rsidR="004F5320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10</w:t>
            </w:r>
            <w:r w:rsidR="003B49FC" w:rsidRPr="008B68D7">
              <w:rPr>
                <w:rFonts w:asciiTheme="majorHAnsi" w:hAnsiTheme="majorHAnsi" w:cstheme="majorHAnsi"/>
                <w:sz w:val="16"/>
                <w:szCs w:val="16"/>
                <w:shd w:val="clear" w:color="auto" w:fill="F8F9FA"/>
              </w:rPr>
              <w:t>%</w:t>
            </w:r>
          </w:p>
          <w:p w14:paraId="3A031544" w14:textId="77777777" w:rsidR="00B13ACE" w:rsidRPr="00BB20BE" w:rsidRDefault="00B13ACE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3539EA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BBAB5C7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91B6D0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51F4A71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, etc. 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Slovak</w:t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334A03" w14:textId="5687A9CD" w:rsidR="00B13ACE" w:rsidRDefault="003B49FC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Podiel autora je v spracovaní : </w:t>
            </w:r>
            <w:proofErr w:type="spellStart"/>
            <w:r w:rsid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sociodemografické</w:t>
            </w:r>
            <w:proofErr w:type="spellEnd"/>
            <w:r w:rsid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charakteristiky skúmaných klientov, kultúry a prostredia, diagnostika, migranti ako </w:t>
            </w:r>
            <w:r w:rsid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klient</w:t>
            </w:r>
            <w:r w:rsid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</w:t>
            </w:r>
            <w:r w:rsidR="00FE0F09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sociálnej práce, </w:t>
            </w:r>
            <w:proofErr w:type="spellStart"/>
            <w:r w:rsid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neuroborelióza</w:t>
            </w:r>
            <w:proofErr w:type="spellEnd"/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, metódy soci</w:t>
            </w:r>
            <w:r w:rsidR="002E7555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á</w:t>
            </w:r>
            <w:r w:rsidR="00BB20BE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lnej práce</w:t>
            </w:r>
            <w:r w:rsidR="008B68D7" w:rsidRPr="008B68D7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. /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author's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contribution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processing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sociodemographic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examined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clients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culture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environment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diagnostics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migrants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clients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neuroborreliosis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methods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4F5320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  <w:p w14:paraId="4290E4C8" w14:textId="78C3C0FD" w:rsidR="004F5320" w:rsidRPr="008B68D7" w:rsidRDefault="004F5320" w:rsidP="00BE7542">
            <w:pPr>
              <w:spacing w:after="0" w:line="240" w:lineRule="auto"/>
              <w:jc w:val="both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BA59E67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6A2A22AE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4DC5D66" w14:textId="77777777" w:rsidR="00B13ACE" w:rsidRPr="00790508" w:rsidRDefault="00000000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t xml:space="preserve"> output in English 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B49FC" w:rsidRPr="00790508">
                <w:rPr>
                  <w:rFonts w:asciiTheme="majorHAnsi" w:eastAsia="Times New Roman" w:hAnsiTheme="majorHAnsi" w:cstheme="majorHAnsi"/>
                  <w:sz w:val="16"/>
                  <w:szCs w:val="16"/>
                  <w:lang w:eastAsia="sk-SK"/>
                </w:rPr>
                <w:br w:type="page"/>
              </w:r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up</w:t>
              </w:r>
              <w:proofErr w:type="spellEnd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B49FC" w:rsidRPr="00790508">
                <w:rPr>
                  <w:rFonts w:asciiTheme="majorHAnsi" w:eastAsia="Times New Roman" w:hAnsiTheme="majorHAnsi" w:cstheme="majorHAnsi"/>
                  <w:i/>
                  <w:iCs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7DE30" w14:textId="1C0F48F8" w:rsidR="00B13ACE" w:rsidRPr="00FE0F09" w:rsidRDefault="00FE0F09" w:rsidP="00BE7542">
            <w:pPr>
              <w:pStyle w:val="Textpoznmkypodiarou"/>
              <w:tabs>
                <w:tab w:val="left" w:pos="567"/>
              </w:tabs>
              <w:jc w:val="both"/>
              <w:rPr>
                <w:rFonts w:asciiTheme="majorHAnsi" w:eastAsia="SimSun" w:hAnsiTheme="majorHAnsi" w:cstheme="majorHAnsi"/>
                <w:i/>
                <w:iCs/>
                <w:sz w:val="16"/>
                <w:szCs w:val="16"/>
                <w:lang w:val="en-US" w:eastAsia="sk-SK"/>
              </w:rPr>
            </w:pPr>
            <w:r w:rsidRPr="00FE0F09">
              <w:rPr>
                <w:rFonts w:asciiTheme="majorHAnsi" w:hAnsiTheme="majorHAnsi" w:cstheme="majorHAnsi"/>
                <w:sz w:val="16"/>
                <w:szCs w:val="16"/>
                <w:lang w:val="en-US" w:eastAsia="en-GB" w:bidi="he-IL"/>
              </w:rPr>
              <w:t xml:space="preserve">The article offers answers to the following questions: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sociodemographic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examined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clients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culture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environment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diagnostics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migrants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clients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neuroborreliosis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methods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social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work</w:t>
            </w:r>
            <w:proofErr w:type="spellEnd"/>
            <w:r w:rsidR="00E35E85" w:rsidRPr="004F5320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34137988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7880CAA3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8169F7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significant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citations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corresponding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341272" w14:textId="61312ADA" w:rsidR="003D2F13" w:rsidRPr="002C0FA0" w:rsidRDefault="003D2F13" w:rsidP="00F67FD2">
            <w:pPr>
              <w:pStyle w:val="Odsekzoznamu"/>
              <w:tabs>
                <w:tab w:val="left" w:pos="196"/>
              </w:tabs>
              <w:autoSpaceDE w:val="0"/>
              <w:autoSpaceDN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2" w:type="dxa"/>
            <w:vAlign w:val="center"/>
          </w:tcPr>
          <w:p w14:paraId="38B4507E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0839F589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FEAB962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output's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socio-economic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practice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024E0" w14:textId="22B85543" w:rsidR="00CF2329" w:rsidRDefault="00E35E85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Cieľom príspevku je sprehľadniť aktuálnu problematiku  ohľadom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sociodemografických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charakteristík skúmaných klientov (migrantov), ich kultúry a prostredia, diagnostiky, ako aj otázka vzniku a predchádzaniu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neuroboreliózy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či metód sociálnej práce práve s touto ohrozenou skupinou klientov sociálnej práce.  Príspevok má teoreticko-aplikačný, informatívno-prehľadový charakter. </w:t>
            </w:r>
            <w:r w:rsidR="00F67FD2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0353C4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aim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contribution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is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clarify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issue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sociodemographic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characteristics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examined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clients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migrants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),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culture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environment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diagnostics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as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well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as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question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occurrence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prevention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neuroborreliosis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or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methods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endangered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group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clients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.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has a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theoretical-application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informative-overview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character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79C623B" w14:textId="77777777" w:rsidR="00E35E85" w:rsidRDefault="00E35E85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599EACF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Významným dopadom výstupu je zvýšenie odbornosti a praktického výkonu sociálnej práce, z administratívneho byrokratického rámca k intenzívnej a efektívnej práci s klientom pri rešpektovaní základných východísk a postulátov v danej oblasti skúmania sociálnej práce s prepojením na pozitívny hospodársky a sociálny dopad sociálnej práce si rozvoji ľudského kapitálu, sociálneho kapitálu.  Výstup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prispieva k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zvýš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eniu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informovanosti nielen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vedeckej obce, ale aj laickej i odbornej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komunity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 študentov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o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dan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ej problematike, trendoch alebo nových poznatkoch v oblasti spoločenskej alebo hospodárskej praxe.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 </w:t>
            </w:r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expertise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performance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from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administrative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bureaucratic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intensive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effective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client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while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respecting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basic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principles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connection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positive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development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human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capital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contributes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increasing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awareness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only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new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knowledge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field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14:paraId="5CD2018E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7F92962C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Výstup podnecuje viaceré objekty vedeckej, odbornej i laickej verejnosti a študentov smerom k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diskusie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 cieľom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k hlbšiemu porozumeniu problému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hľadaniu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možný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ch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riešen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í. M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ôže ovplyvniť názory a postoje ľudí k určitým spoločenským alebo hospodárskym otázkam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podnietiť zmenu postoja verejnosti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vedeckej, odbornej i laickej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politikov 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ko aj študentov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voči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skúmanej problematike. Výstup 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môže ovplyvniť medzinárodné vzťahy a spoluprácu medzi krajinami alebo medzinárodnými organizáciami prostredníctvom diskusie o globálnych otázkach alebo konkrétnych problémoch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 rámci systému európskych sociálnych politík a dosahovaní cieľov Agendy 2030</w:t>
            </w:r>
            <w:r w:rsidRPr="008F1C26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/</w:t>
            </w:r>
            <w:r w:rsidRPr="00456BCA"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objects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possible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solutions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people's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opinions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certain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economic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stimulate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change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attitude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politicians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towards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investigated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influence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relations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cooperation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between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countries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international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organizations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through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discussion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global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issues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or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specific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problems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within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framework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policies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achievement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goals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2030 Agenda.</w:t>
            </w:r>
          </w:p>
          <w:p w14:paraId="35982446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14:paraId="534DAAFA" w14:textId="5BD3C7E7" w:rsidR="00C70CC6" w:rsidRPr="00C70CC6" w:rsidRDefault="00C70CC6" w:rsidP="00BE7542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Závery bádania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/výskumu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 vo vedeckej  monograf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ii/zborníku/príspevku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tendenciách, turbulenciách spoločenského života, ako aj výzvach postmodernej doby v rôznych oblastiach spoločenského života. /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conclusions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study/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presented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have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significance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current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tendencies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turbulences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challenges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postmodern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era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various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areas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life</w:t>
            </w:r>
            <w:proofErr w:type="spellEnd"/>
            <w:r w:rsidRPr="00456BCA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65A50EE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  <w:tr w:rsidR="00790508" w:rsidRPr="00790508" w14:paraId="24C74637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28D4A09" w14:textId="77777777" w:rsidR="00B13ACE" w:rsidRPr="00790508" w:rsidRDefault="003B49FC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</w:pPr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Characteristics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related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activities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impact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the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educational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t>process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sz w:val="16"/>
                <w:szCs w:val="16"/>
                <w:lang w:eastAsia="sk-SK"/>
              </w:rPr>
              <w:br/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Slovak</w:t>
            </w:r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Range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up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>words</w:t>
            </w:r>
            <w:proofErr w:type="spellEnd"/>
            <w:r w:rsidRPr="00790508">
              <w:rPr>
                <w:rFonts w:asciiTheme="majorHAnsi" w:eastAsia="Times New Roman" w:hAnsiTheme="majorHAnsi" w:cstheme="majorHAnsi"/>
                <w:i/>
                <w:iCs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DF00F" w14:textId="2758A6A9" w:rsidR="006F67AD" w:rsidRDefault="00E35E85" w:rsidP="00C70CC6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Príspevok má sprehľadniť aktuálnu problematiku  ohľadom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sociodemografických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charakteristík skúmaných klientov (migrantov), ich kultúry a prostredia, diagnostiky, ako aj otázka vzniku a predchádzaniu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neuroboreliózy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, či metód sociálnej práce práve s touto ohrozenou skupinou klientov sociálnej práce.</w:t>
            </w:r>
            <w:r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r w:rsidR="008B68D7" w:rsidRPr="008B68D7">
              <w:rPr>
                <w:rFonts w:asciiTheme="majorHAnsi" w:hAnsiTheme="majorHAnsi" w:cstheme="majorHAnsi"/>
                <w:sz w:val="16"/>
                <w:szCs w:val="16"/>
              </w:rPr>
              <w:t xml:space="preserve">/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paper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aims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to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clarify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current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issues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regarding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socio-demographic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characteristics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investigated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clients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(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migrants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),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their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culture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environment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diagnostics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as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well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as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issue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occurrence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and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prevention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neuroborreliosis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, or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methods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with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this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endangered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group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of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social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work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 xml:space="preserve"> </w:t>
            </w:r>
            <w:proofErr w:type="spellStart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clients</w:t>
            </w:r>
            <w:proofErr w:type="spellEnd"/>
            <w:r w:rsidRPr="00E35E85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  <w:p w14:paraId="1C3EB5ED" w14:textId="77777777" w:rsidR="002E7555" w:rsidRDefault="002E7555" w:rsidP="00C70CC6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7B903F44" w14:textId="77777777" w:rsidR="00C70CC6" w:rsidRPr="00456BCA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Vo vzdelávacom procese táto  štúdia koreluje s  viacerými predmetmi, ako je teória sociálnej práce, základy sociálnej práce, metódy sociálnej práce,  komunitná sociálna práce, sociálna práca v zdravotníctve,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či </w:t>
            </w:r>
            <w:r w:rsidRPr="00AF268F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sociálna politika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/ </w:t>
            </w:r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process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correlates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several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basics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healthcare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or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policy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59607DDA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017B4C63" w14:textId="77777777" w:rsidR="00C70CC6" w:rsidRPr="00456BCA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je určená pre vedeckú, ale i odbornú verejnosť, ktorá sa danou problematikou zaoberá. Vedecká monografia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/zborník/príspevok</w:t>
            </w:r>
            <w:r w:rsidRPr="008148E3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 poskytuje relevantné informácie, ktoré pojednávajú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o demografických zmenách a trendoch, ktoré prináša spoločný európsky priestor. 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paper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intended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well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professional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which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deals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with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given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issue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monograph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proceedings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/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article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provides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relevant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information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that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discusses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demographic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changes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trends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brought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about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by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common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European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space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.</w:t>
            </w:r>
          </w:p>
          <w:p w14:paraId="6B2F409C" w14:textId="77777777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</w:p>
          <w:p w14:paraId="657FBC72" w14:textId="644BE2B4" w:rsidR="00C70CC6" w:rsidRDefault="00C70CC6" w:rsidP="00C70CC6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Výstup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slúž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ako vzdelávac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í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zdroj pre verejnosť,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vedeckých pracovníkov,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odborníkov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laickú komunitu, 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 aj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študentov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pri skvalitňovaní študijného programu a je priamo prepojený na predmet sociálne služby, teória a metódy sociálnej práce a iné voliteľné predmety pre prípravu budúcich sociálnych pracovníkov, je cenným zdrojom</w:t>
            </w:r>
            <w:r w:rsidRPr="008F1C26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. </w:t>
            </w: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/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an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educational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public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scientific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experts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lay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community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but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also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students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improving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quality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study program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directly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connected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services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theory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methods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other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optional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subjects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for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the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training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future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social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workers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it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is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valuable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>resource</w:t>
            </w:r>
            <w:proofErr w:type="spellEnd"/>
            <w:r w:rsidRPr="00456BCA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  <w:t xml:space="preserve"> .</w:t>
            </w:r>
          </w:p>
          <w:p w14:paraId="715DF6C3" w14:textId="77777777" w:rsidR="00C70CC6" w:rsidRPr="008B68D7" w:rsidRDefault="00C70CC6" w:rsidP="00BE7542">
            <w:pPr>
              <w:pStyle w:val="PredformtovanHTML"/>
              <w:shd w:val="clear" w:color="auto" w:fill="F8F9FA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CD07939" w14:textId="77777777" w:rsidR="00B13ACE" w:rsidRPr="00790508" w:rsidRDefault="00B13ACE" w:rsidP="00BE7542">
            <w:pPr>
              <w:spacing w:after="0" w:line="240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sk-SK"/>
              </w:rPr>
            </w:pPr>
          </w:p>
        </w:tc>
      </w:tr>
    </w:tbl>
    <w:p w14:paraId="0BDD82E7" w14:textId="77777777" w:rsidR="00B13ACE" w:rsidRPr="00790508" w:rsidRDefault="00B13ACE" w:rsidP="00BE7542">
      <w:pPr>
        <w:spacing w:line="240" w:lineRule="auto"/>
        <w:rPr>
          <w:rFonts w:asciiTheme="majorHAnsi" w:hAnsiTheme="majorHAnsi" w:cstheme="majorHAnsi"/>
        </w:rPr>
      </w:pPr>
    </w:p>
    <w:sectPr w:rsidR="00B13ACE" w:rsidRPr="00790508" w:rsidSect="00F8509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EC4C8" w14:textId="77777777" w:rsidR="00F85098" w:rsidRDefault="00F85098">
      <w:pPr>
        <w:spacing w:line="240" w:lineRule="auto"/>
      </w:pPr>
      <w:r>
        <w:separator/>
      </w:r>
    </w:p>
  </w:endnote>
  <w:endnote w:type="continuationSeparator" w:id="0">
    <w:p w14:paraId="08CCC050" w14:textId="77777777" w:rsidR="00F85098" w:rsidRDefault="00F850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SimSun"/>
    <w:charset w:val="86"/>
    <w:family w:val="auto"/>
    <w:pitch w:val="default"/>
    <w:sig w:usb0="00000000" w:usb1="500078FF" w:usb2="00000021" w:usb3="00000000" w:csb0="600001BF" w:csb1="DFF7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7520E" w14:textId="77777777" w:rsidR="00F85098" w:rsidRDefault="00F85098">
      <w:pPr>
        <w:spacing w:after="0"/>
      </w:pPr>
      <w:r>
        <w:separator/>
      </w:r>
    </w:p>
  </w:footnote>
  <w:footnote w:type="continuationSeparator" w:id="0">
    <w:p w14:paraId="66730008" w14:textId="77777777" w:rsidR="00F85098" w:rsidRDefault="00F8509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0D75B67"/>
    <w:multiLevelType w:val="hybridMultilevel"/>
    <w:tmpl w:val="7640FA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3C53"/>
    <w:multiLevelType w:val="hybridMultilevel"/>
    <w:tmpl w:val="FA205A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6760C"/>
    <w:multiLevelType w:val="hybridMultilevel"/>
    <w:tmpl w:val="E3C48552"/>
    <w:lvl w:ilvl="0" w:tplc="9E34AAB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647E2"/>
    <w:multiLevelType w:val="hybridMultilevel"/>
    <w:tmpl w:val="F23EC3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501B09"/>
    <w:multiLevelType w:val="hybridMultilevel"/>
    <w:tmpl w:val="BD2CDBC4"/>
    <w:lvl w:ilvl="0" w:tplc="65C824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6253253">
    <w:abstractNumId w:val="0"/>
  </w:num>
  <w:num w:numId="2" w16cid:durableId="324549340">
    <w:abstractNumId w:val="5"/>
  </w:num>
  <w:num w:numId="3" w16cid:durableId="1516729784">
    <w:abstractNumId w:val="4"/>
  </w:num>
  <w:num w:numId="4" w16cid:durableId="1194029426">
    <w:abstractNumId w:val="2"/>
  </w:num>
  <w:num w:numId="5" w16cid:durableId="1275792359">
    <w:abstractNumId w:val="3"/>
  </w:num>
  <w:num w:numId="6" w16cid:durableId="8386646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53C4"/>
    <w:rsid w:val="000A17C0"/>
    <w:rsid w:val="00145306"/>
    <w:rsid w:val="00190A9C"/>
    <w:rsid w:val="00211BB7"/>
    <w:rsid w:val="00246FA5"/>
    <w:rsid w:val="00261B31"/>
    <w:rsid w:val="002C0FA0"/>
    <w:rsid w:val="002E03CC"/>
    <w:rsid w:val="002E7555"/>
    <w:rsid w:val="003B49FC"/>
    <w:rsid w:val="003D2F13"/>
    <w:rsid w:val="004C0ADE"/>
    <w:rsid w:val="004F5320"/>
    <w:rsid w:val="00617400"/>
    <w:rsid w:val="006F67AD"/>
    <w:rsid w:val="007170EB"/>
    <w:rsid w:val="0073261A"/>
    <w:rsid w:val="0075266F"/>
    <w:rsid w:val="00790508"/>
    <w:rsid w:val="00882F01"/>
    <w:rsid w:val="00885E7D"/>
    <w:rsid w:val="008B68D7"/>
    <w:rsid w:val="008F2F52"/>
    <w:rsid w:val="00A51A0C"/>
    <w:rsid w:val="00A6295E"/>
    <w:rsid w:val="00AE2ECB"/>
    <w:rsid w:val="00AF2836"/>
    <w:rsid w:val="00B13ACE"/>
    <w:rsid w:val="00B30EC9"/>
    <w:rsid w:val="00B660E1"/>
    <w:rsid w:val="00BB20BE"/>
    <w:rsid w:val="00BE7542"/>
    <w:rsid w:val="00C6062D"/>
    <w:rsid w:val="00C70CC6"/>
    <w:rsid w:val="00CF2329"/>
    <w:rsid w:val="00D22A85"/>
    <w:rsid w:val="00DC28EF"/>
    <w:rsid w:val="00E35E85"/>
    <w:rsid w:val="00F67FD2"/>
    <w:rsid w:val="00F85098"/>
    <w:rsid w:val="00FE0F09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CB717"/>
  <w15:docId w15:val="{D59A713C-493E-4662-B652-8AA12007F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30E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FNT ISO,Footnote Text Char,Voetnoottekst Char,Voetnoottekst Char Char1 Char,Voetnoottekst Char Char1 Char Char Char,Voetnoottekst Char1 Char,Voetnoottekst Char1 Char Char Char"/>
    <w:basedOn w:val="Normlny"/>
    <w:link w:val="TextpoznmkypodiarouChar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30EC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 w:eastAsia="en-US"/>
    </w:rPr>
  </w:style>
  <w:style w:type="character" w:customStyle="1" w:styleId="TextpoznmkypodiarouChar">
    <w:name w:val="Text poznámky pod čiarou Char"/>
    <w:aliases w:val="FNT ISO Char,Footnote Text Char Char,Voetnoottekst Char Char,Voetnoottekst Char Char1 Char Char,Voetnoottekst Char Char1 Char Char Char Char,Voetnoottekst Char1 Char Char,Voetnoottekst Char1 Char Char Char Char"/>
    <w:link w:val="Textpoznmkypodiarou"/>
    <w:locked/>
    <w:rsid w:val="00B30EC9"/>
    <w:rPr>
      <w:rFonts w:asciiTheme="minorHAnsi" w:eastAsiaTheme="minorHAnsi" w:hAnsiTheme="minorHAnsi" w:cstheme="minorBidi"/>
      <w:lang w:val="sk-SK" w:eastAsia="en-US"/>
    </w:rPr>
  </w:style>
  <w:style w:type="character" w:customStyle="1" w:styleId="text-success">
    <w:name w:val="text-success"/>
    <w:basedOn w:val="Predvolenpsmoodseku"/>
    <w:rsid w:val="00B30EC9"/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C70CC6"/>
    <w:rPr>
      <w:rFonts w:ascii="Courier New" w:eastAsia="Times New Roman" w:hAnsi="Courier New" w:cs="Courier New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A51A0C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99"/>
    <w:rsid w:val="00A51A0C"/>
    <w:pPr>
      <w:ind w:left="720"/>
      <w:contextualSpacing/>
    </w:pPr>
  </w:style>
  <w:style w:type="character" w:styleId="Vrazn">
    <w:name w:val="Strong"/>
    <w:basedOn w:val="Predvolenpsmoodseku"/>
    <w:uiPriority w:val="22"/>
    <w:qFormat/>
    <w:rsid w:val="002C0F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9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1780</Words>
  <Characters>10857</Characters>
  <Application>Microsoft Office Word</Application>
  <DocSecurity>0</DocSecurity>
  <Lines>286</Lines>
  <Paragraphs>49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suvada</cp:lastModifiedBy>
  <cp:revision>2</cp:revision>
  <cp:lastPrinted>2024-04-10T10:37:00Z</cp:lastPrinted>
  <dcterms:created xsi:type="dcterms:W3CDTF">2024-04-10T10:37:00Z</dcterms:created>
  <dcterms:modified xsi:type="dcterms:W3CDTF">2024-04-10T10:37:00Z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  <property fmtid="{D5CDD505-2E9C-101B-9397-08002B2CF9AE}" pid="4" name="GrammarlyDocumentId">
    <vt:lpwstr>2179e73ab6da5445528caf3c1f0e32af31e93b1631bd80904de697b8817c5811</vt:lpwstr>
  </property>
</Properties>
</file>